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4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ПРАВИЛА</w:t>
      </w:r>
    </w:p>
    <w:p w:rsidR="00000000" w:rsidDel="00000000" w:rsidP="00000000" w:rsidRDefault="00000000" w:rsidRPr="00000000" w14:paraId="00000002">
      <w:pPr>
        <w:ind w:firstLine="54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4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применения рекомендательных технологий в виджетах рекламно-обменной сети «СМИ2», размещенных на сайте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www.forbes.ru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ind w:firstLine="54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6"/>
        <w:tblGridChange w:id="0">
          <w:tblGrid>
            <w:gridCol w:w="2689"/>
            <w:gridCol w:w="66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«Сайт»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highlight w:val="white"/>
                <w:rtl w:val="0"/>
              </w:rPr>
              <w:t xml:space="preserve">сайты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сети "Интернет".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«Доменное имя»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Обозначение символами, предназначенное для адресации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сайтов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«Рекомендательные технологии»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«Баннер»,  «Текстово-графический блок», виджет»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«ПЭВМ»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ПЭВМ «Информационная рекламно-обменная сеть СМИ2», ПЭВМ 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«СМИ2» (ОГРН 1117746655355)  (внесена в Реестр программ для ЭВМ, регистрационный № 2020615032 от 14.05.2020 г.)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«ПЭВМ Система анализа аудитории интернет-проектов Stat.Media», ПЭВМ 2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ПЭВМ, предназначенная для анализа и сбора данных 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исключительные права, на которую принадлежат ООО «СМИ2» (ОГРН 1117746655355) (внесена в Реестр программ для ЭВМ, регистрационный № 2020615037 от 14.05.2020 г.)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«База данных»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«База данных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«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Потоковые данные программного продукта «Информационная рекламно-обменная сеть СМИ2»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база данных, </w:t>
            </w:r>
            <w:r w:rsidDel="00000000" w:rsidR="00000000" w:rsidRPr="00000000">
              <w:rPr>
                <w:color w:val="000000"/>
                <w:rtl w:val="0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исключительные права, на которую принадлежат ООО «СМИ2» (</w:t>
            </w:r>
            <w:r w:rsidDel="00000000" w:rsidR="00000000" w:rsidRPr="00000000">
              <w:rPr>
                <w:color w:val="000000"/>
                <w:rtl w:val="0"/>
              </w:rPr>
              <w:t xml:space="preserve">ОГРН 1117746655355) (внесена в Реестр баз данных, регистрационный № 2020620816 от 21.05.2020 г.)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«База данных программного продукта «Система анализа аудитории интернет-проектов Stat.Media»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база данных, </w:t>
            </w:r>
            <w:r w:rsidDel="00000000" w:rsidR="00000000" w:rsidRPr="00000000">
              <w:rPr>
                <w:color w:val="000000"/>
                <w:rtl w:val="0"/>
              </w:rPr>
              <w:t xml:space="preserve">содержащая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данные о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исключительные права, на которую принадлежат ООО «СМИ2» (</w:t>
            </w:r>
            <w:r w:rsidDel="00000000" w:rsidR="00000000" w:rsidRPr="00000000">
              <w:rPr>
                <w:color w:val="000000"/>
                <w:rtl w:val="0"/>
              </w:rPr>
              <w:t xml:space="preserve">ОГРН 1117746655355) (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внесена в Реестр баз данных, регистрационный № 2020620834 от 22.05.2020 г.)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«Интернет-площадка (Площадка)»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интернет-сайт, мобильное приложение, на которых до сведения Пользователей сети «Интернет» при помощи ПЭВМ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Информационная рекламно-обменная сеть СМИ2» 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«Пользователь сети «Интернет»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Если из контекста не вытекает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иное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, любой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термин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не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определенный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настоящих Правилах, имеет то значение, которое установлено для него законодательством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Российской Федерации и обычаем.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firstLine="54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Содержание рекомендательных технологий: </w:t>
      </w:r>
    </w:p>
    <w:p w:rsidR="00000000" w:rsidDel="00000000" w:rsidP="00000000" w:rsidRDefault="00000000" w:rsidRPr="00000000" w14:paraId="0000002F">
      <w:pPr>
        <w:ind w:firstLine="54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76"/>
        <w:gridCol w:w="4569"/>
        <w:tblGridChange w:id="0">
          <w:tblGrid>
            <w:gridCol w:w="4776"/>
            <w:gridCol w:w="45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«Информационная рекламно-обменная сеть СМИ2», осуществляет круглосуточно в непрерывном режиме демонстрацию виджетов правообладателя ПЭВМ «Информационная рекламно-обменная сеть СМИ2».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б) Посредством «ПЭВМ «Информационная рекламно-обменная сеть СМИ2»; «ПЭВМ  «Система анализа аудитории интернет-проектов Stat.Media»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«Потоковые данные программного продукта «Информационная рекламно-обменная сеть СМИ2» и Базе данных программного продукта «Система анализа аудитории интернет-проектов Stat.Media».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«Интернет» «персонализированный» контент.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«Интернет» и интересующих его новостных тематиках, что образует «профиль» Пользователя.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«Интернет», и увеличивать вероятность показа новостей тематик профиля такого Пользователя.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 сведениям, относящимся к предпочтениям пользователей сети "Интернет" относится тематика 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firstLine="54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Реквизиты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ООО «СМИ2»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Адрес: 115114, г. Москва, ул. Летниковская, д. 10, стр. 1, ком. 28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ОГРН 1117746655355, ИНН 7704788687, КПП 770501001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r w:rsidDel="00000000" w:rsidR="00000000" w:rsidRPr="00000000">
        <w:rPr>
          <w:rFonts w:ascii="Roboto" w:cs="Roboto" w:eastAsia="Roboto" w:hAnsi="Roboto"/>
          <w:color w:val="0b57d0"/>
          <w:sz w:val="21"/>
          <w:szCs w:val="21"/>
          <w:highlight w:val="white"/>
          <w:rtl w:val="0"/>
        </w:rPr>
        <w:t xml:space="preserve">info@smi2.net.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D26F9"/>
    <w:rPr>
      <w:rFonts w:ascii="Times New Roman" w:cs="Times New Roman" w:eastAsia="Times New Roman" w:hAnsi="Times New Roman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a0"/>
    <w:rsid w:val="006A481F"/>
  </w:style>
  <w:style w:type="character" w:styleId="a3">
    <w:name w:val="Hyperlink"/>
    <w:basedOn w:val="a0"/>
    <w:uiPriority w:val="99"/>
    <w:semiHidden w:val="1"/>
    <w:unhideWhenUsed w:val="1"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 w:val="1"/>
    <w:unhideWhenUsed w:val="1"/>
    <w:rsid w:val="006A481F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a5" w:customStyle="1">
    <w:name w:val="Текст сноски Знак"/>
    <w:basedOn w:val="a0"/>
    <w:link w:val="a4"/>
    <w:uiPriority w:val="99"/>
    <w:semiHidden w:val="1"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 w:val="1"/>
    <w:unhideWhenUsed w:val="1"/>
    <w:rsid w:val="006A481F"/>
    <w:rPr>
      <w:vertAlign w:val="superscript"/>
    </w:rPr>
  </w:style>
  <w:style w:type="character" w:styleId="f" w:customStyle="1">
    <w:name w:val="f"/>
    <w:basedOn w:val="a0"/>
    <w:rsid w:val="001E6413"/>
  </w:style>
  <w:style w:type="paragraph" w:styleId="a7">
    <w:name w:val="Normal (Web)"/>
    <w:basedOn w:val="a"/>
    <w:uiPriority w:val="99"/>
    <w:unhideWhenUsed w:val="1"/>
    <w:rsid w:val="00DD0DBA"/>
    <w:pPr>
      <w:spacing w:after="100" w:afterAutospacing="1" w:before="100" w:beforeAutospacing="1"/>
    </w:pPr>
  </w:style>
  <w:style w:type="table" w:styleId="a8">
    <w:name w:val="Table Grid"/>
    <w:basedOn w:val="a1"/>
    <w:uiPriority w:val="39"/>
    <w:rsid w:val="00DD0D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br" w:customStyle="1">
    <w:name w:val="nobr"/>
    <w:basedOn w:val="a0"/>
    <w:rsid w:val="005D26F9"/>
  </w:style>
  <w:style w:type="paragraph" w:styleId="a9">
    <w:name w:val="List Paragraph"/>
    <w:basedOn w:val="a"/>
    <w:uiPriority w:val="34"/>
    <w:qFormat w:val="1"/>
    <w:rsid w:val="008466DE"/>
    <w:pPr>
      <w:ind w:left="720"/>
      <w:contextualSpacing w:val="1"/>
    </w:pPr>
  </w:style>
  <w:style w:type="character" w:styleId="aa">
    <w:name w:val="annotation reference"/>
    <w:basedOn w:val="a0"/>
    <w:uiPriority w:val="99"/>
    <w:semiHidden w:val="1"/>
    <w:unhideWhenUsed w:val="1"/>
    <w:rsid w:val="004225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4225DB"/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4225DB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4225DB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4225DB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4225DB"/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4225DB"/>
    <w:rPr>
      <w:rFonts w:ascii="Segoe UI" w:cs="Segoe UI" w:eastAsia="Times New Roman" w:hAnsi="Segoe UI"/>
      <w:sz w:val="18"/>
      <w:szCs w:val="18"/>
      <w:lang w:eastAsia="ru-RU"/>
    </w:rPr>
  </w:style>
  <w:style w:type="paragraph" w:styleId="af1">
    <w:name w:val="Revision"/>
    <w:hidden w:val="1"/>
    <w:uiPriority w:val="99"/>
    <w:semiHidden w:val="1"/>
    <w:rsid w:val="00350B41"/>
    <w:rPr>
      <w:rFonts w:ascii="Times New Roman" w:cs="Times New Roman" w:eastAsia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8AmqaEBCT53nXv0vulzsr9zmg==">CgMxLjA4AGpYCjVzdWdnZXN0SWRJbXBvcnQ1NWYwZjNlOS0yNDE1LTQ0MDYtYWY0OS05NzM5MzA1ZmZlMjlfMRIf0JDRgNC40L3QsCDQotC40LzQsNC90YzQutC+0LLQsGpYCjVzdWdnZXN0SWRJbXBvcnQ1NWYwZjNlOS0yNDE1LTQ0MDYtYWY0OS05NzM5MzA1ZmZlMjlfMhIf0JDRgNC40L3QsCDQotC40LzQsNC90YzQutC+0LLQsHIhMUpSN0tRazRlMU5QVURURVBXcXc0WU9EYlZxY09Sbn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2023-09-19T11:26:00Z</dcterms:created>
  <dc:creator>user09</dc:creator>
</cp:coreProperties>
</file>